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Times New Roman" w:hAnsi="Times New Roman" w:eastAsia="仿宋" w:cs="Times New Roman"/>
          <w:b/>
          <w:bCs/>
          <w:sz w:val="36"/>
          <w:szCs w:val="36"/>
          <w:lang w:val="en-US" w:eastAsia="zh-CN"/>
        </w:rPr>
      </w:pPr>
      <w:r>
        <w:rPr>
          <w:rFonts w:hint="eastAsia" w:ascii="Times New Roman" w:hAnsi="Times New Roman" w:eastAsia="仿宋" w:cs="Times New Roman"/>
          <w:b/>
          <w:bCs/>
          <w:sz w:val="36"/>
          <w:szCs w:val="36"/>
          <w:lang w:val="en-US" w:eastAsia="zh-CN"/>
        </w:rPr>
        <w:t>俊郎电气有限公司</w:t>
      </w:r>
    </w:p>
    <w:p>
      <w:pPr>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ascii="Times New Roman" w:hAnsi="Times New Roman" w:eastAsia="仿宋" w:cs="Times New Roman"/>
          <w:b/>
          <w:bCs/>
          <w:sz w:val="36"/>
          <w:szCs w:val="36"/>
        </w:rPr>
      </w:pPr>
      <w:r>
        <w:rPr>
          <w:rFonts w:ascii="Times New Roman" w:hAnsi="Times New Roman" w:eastAsia="仿宋" w:cs="Times New Roman"/>
          <w:b/>
          <w:bCs/>
          <w:sz w:val="36"/>
          <w:szCs w:val="36"/>
        </w:rPr>
        <w:t>2023年度社会责任报告</w:t>
      </w:r>
    </w:p>
    <w:p>
      <w:pPr>
        <w:pStyle w:val="2"/>
        <w:pageBreakBefore w:val="0"/>
        <w:widowControl w:val="0"/>
        <w:numPr>
          <w:ilvl w:val="0"/>
          <w:numId w:val="1"/>
        </w:numPr>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工厂</w:t>
      </w:r>
      <w:r>
        <w:rPr>
          <w:rFonts w:hint="eastAsia" w:cs="Times New Roman"/>
          <w:lang w:val="en-US" w:eastAsia="zh-CN"/>
        </w:rPr>
        <w:t>总体情况</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俊郎电气是一家专业生产、制造、研发、服务电力行业的高新技术企业，产品覆盖40.5kV以下电力设备及元器件，致力成为“电气一体化解决方案供应商”。产品长期应用于电网、交通、冶炼、焦炭、化工、医药、大型基建、数据中心、商业地产等领域。企业主要客户有国家、南方及各地方电网公司、中国交通、宝武钢铁、陕煤、中化工、中建、中冶、中电建、华为数据中心，以及万科、恒大、世贸等国内知名商业地产商，保持长期密切合作关系</w:t>
      </w:r>
      <w:r>
        <w:rPr>
          <w:rFonts w:ascii="Times New Roman" w:hAnsi="Times New Roman" w:eastAsia="仿宋" w:cs="Times New Roman"/>
          <w:sz w:val="28"/>
          <w:szCs w:val="28"/>
        </w:rPr>
        <w:t>。</w:t>
      </w:r>
    </w:p>
    <w:p>
      <w:pPr>
        <w:pStyle w:val="2"/>
        <w:pageBreakBefore w:val="0"/>
        <w:widowControl w:val="0"/>
        <w:numPr>
          <w:ilvl w:val="0"/>
          <w:numId w:val="1"/>
        </w:numPr>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工厂发展理念</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ascii="Times New Roman" w:hAnsi="Times New Roman" w:eastAsia="仿宋" w:cs="Times New Roman"/>
          <w:sz w:val="28"/>
          <w:szCs w:val="28"/>
        </w:rPr>
      </w:pPr>
      <w:r>
        <w:rPr>
          <w:rFonts w:ascii="Times New Roman" w:hAnsi="Times New Roman" w:eastAsia="仿宋" w:cs="Times New Roman"/>
          <w:b/>
          <w:bCs/>
          <w:sz w:val="28"/>
          <w:szCs w:val="28"/>
        </w:rPr>
        <w:t>工厂坚持以内外兼修持续提升智造品质</w:t>
      </w:r>
      <w:r>
        <w:rPr>
          <w:rFonts w:ascii="Times New Roman" w:hAnsi="Times New Roman" w:eastAsia="仿宋" w:cs="Times New Roman"/>
          <w:sz w:val="28"/>
          <w:szCs w:val="28"/>
        </w:rPr>
        <w:t>，坚持</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一切围绕生产转、生产围绕质量转、质量围绕市场转</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，全面强化工艺设备协同发力，围绕</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人机料法环测</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等要素，持续优化生产过程全环节、全要素、全链条质量管控，成为行业首家获得</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全国质量管理奖</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的卷烟企业。</w:t>
      </w:r>
      <w:r>
        <w:rPr>
          <w:rFonts w:ascii="Times New Roman" w:hAnsi="Times New Roman" w:eastAsia="仿宋" w:cs="Times New Roman"/>
          <w:b/>
          <w:bCs/>
          <w:sz w:val="28"/>
          <w:szCs w:val="28"/>
        </w:rPr>
        <w:t>工厂坚持以数实融合持续提档智造能力</w:t>
      </w:r>
      <w:r>
        <w:rPr>
          <w:rFonts w:ascii="Times New Roman" w:hAnsi="Times New Roman" w:eastAsia="仿宋" w:cs="Times New Roman"/>
          <w:sz w:val="28"/>
          <w:szCs w:val="28"/>
        </w:rPr>
        <w:t>，在行业数字化转型指引下，以</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上云、用数、赋智</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三步走的建设思路，采用</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传统架构</w:t>
      </w:r>
      <w:r>
        <w:rPr>
          <w:rFonts w:hint="eastAsia" w:ascii="Times New Roman" w:hAnsi="Times New Roman" w:eastAsia="仿宋" w:cs="Times New Roman"/>
          <w:sz w:val="28"/>
          <w:szCs w:val="28"/>
          <w:lang w:val="en-US" w:eastAsia="zh-CN"/>
        </w:rPr>
        <w:t>+</w:t>
      </w:r>
      <w:r>
        <w:rPr>
          <w:rFonts w:ascii="Times New Roman" w:hAnsi="Times New Roman" w:eastAsia="仿宋" w:cs="Times New Roman"/>
          <w:sz w:val="28"/>
          <w:szCs w:val="28"/>
        </w:rPr>
        <w:t>云架构</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的双轮驱动模式，组建五大智慧应用场景，实现数据与业务融合、关键指标实时预警、核心风险协同管理。</w:t>
      </w:r>
      <w:r>
        <w:rPr>
          <w:rFonts w:ascii="Times New Roman" w:hAnsi="Times New Roman" w:eastAsia="仿宋" w:cs="Times New Roman"/>
          <w:b/>
          <w:bCs/>
          <w:sz w:val="28"/>
          <w:szCs w:val="28"/>
        </w:rPr>
        <w:t>工厂坚持以绿色低碳持续铺就智造底色</w:t>
      </w:r>
      <w:r>
        <w:rPr>
          <w:rFonts w:ascii="Times New Roman" w:hAnsi="Times New Roman" w:eastAsia="仿宋" w:cs="Times New Roman"/>
          <w:sz w:val="28"/>
          <w:szCs w:val="28"/>
        </w:rPr>
        <w:t>，深入打造资源节约型、环境友好型工厂，易地技改时全面采用了绿色生产工艺、节能生产设备等，获得行业内首家</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三星级绿色工房</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称号。</w:t>
      </w:r>
      <w:r>
        <w:rPr>
          <w:rFonts w:ascii="Times New Roman" w:hAnsi="Times New Roman" w:eastAsia="仿宋" w:cs="Times New Roman"/>
          <w:b/>
          <w:bCs/>
          <w:sz w:val="28"/>
          <w:szCs w:val="28"/>
        </w:rPr>
        <w:t>工厂强化绿色低碳技术创新应用</w:t>
      </w:r>
      <w:r>
        <w:rPr>
          <w:rFonts w:ascii="Times New Roman" w:hAnsi="Times New Roman" w:eastAsia="仿宋" w:cs="Times New Roman"/>
          <w:sz w:val="28"/>
          <w:szCs w:val="28"/>
        </w:rPr>
        <w:t>，推动全面绿色转型升级，2021年获</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温州</w:t>
      </w:r>
      <w:r>
        <w:rPr>
          <w:rFonts w:ascii="Times New Roman" w:hAnsi="Times New Roman" w:eastAsia="仿宋" w:cs="Times New Roman"/>
          <w:sz w:val="28"/>
          <w:szCs w:val="28"/>
        </w:rPr>
        <w:t>市绿色低碳工厂</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称号。</w:t>
      </w:r>
      <w:r>
        <w:rPr>
          <w:rFonts w:ascii="Times New Roman" w:hAnsi="Times New Roman" w:eastAsia="仿宋" w:cs="Times New Roman"/>
          <w:b/>
          <w:bCs/>
          <w:sz w:val="28"/>
          <w:szCs w:val="28"/>
        </w:rPr>
        <w:t>工厂坚持以精益创新持续锻造智造管理，</w:t>
      </w:r>
      <w:r>
        <w:rPr>
          <w:rFonts w:ascii="Times New Roman" w:hAnsi="Times New Roman" w:eastAsia="仿宋" w:cs="Times New Roman"/>
          <w:sz w:val="28"/>
          <w:szCs w:val="28"/>
        </w:rPr>
        <w:t>突出精益赋能和创新引领，推动体系优化与流程再造，打造科学规范、创新协同、运行高效的卓越管理模式，人均劳产率在行业中常年稳居</w:t>
      </w:r>
      <w:r>
        <w:rPr>
          <w:rFonts w:hint="eastAsia" w:ascii="Times New Roman" w:hAnsi="Times New Roman" w:eastAsia="仿宋" w:cs="Times New Roman"/>
          <w:sz w:val="28"/>
          <w:szCs w:val="28"/>
          <w:lang w:val="en-US" w:eastAsia="zh-CN"/>
        </w:rPr>
        <w:t>前茅</w:t>
      </w:r>
      <w:r>
        <w:rPr>
          <w:rFonts w:ascii="Times New Roman" w:hAnsi="Times New Roman" w:eastAsia="仿宋" w:cs="Times New Roman"/>
          <w:sz w:val="28"/>
          <w:szCs w:val="28"/>
        </w:rPr>
        <w:t>，工厂先后被行业授予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温州市“两化”融合示范试点企业名单</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浙江省专精特新中小企业</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专精特新”小巨人”企业</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等称号。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b/>
          <w:bCs/>
          <w:sz w:val="28"/>
          <w:szCs w:val="28"/>
        </w:rPr>
      </w:pPr>
      <w:r>
        <w:rPr>
          <w:rFonts w:ascii="Times New Roman" w:hAnsi="Times New Roman" w:eastAsia="仿宋" w:cs="Times New Roman"/>
          <w:sz w:val="28"/>
          <w:szCs w:val="28"/>
        </w:rPr>
        <w:t>2023年</w:t>
      </w:r>
      <w:r>
        <w:rPr>
          <w:rFonts w:hint="eastAsia" w:ascii="Times New Roman" w:hAnsi="Times New Roman" w:eastAsia="仿宋" w:cs="Times New Roman"/>
          <w:sz w:val="28"/>
          <w:szCs w:val="28"/>
          <w:lang w:val="en-US" w:eastAsia="zh-CN"/>
        </w:rPr>
        <w:t>俊郎电气</w:t>
      </w:r>
      <w:r>
        <w:rPr>
          <w:rFonts w:ascii="Times New Roman" w:hAnsi="Times New Roman" w:eastAsia="仿宋" w:cs="Times New Roman"/>
          <w:sz w:val="28"/>
          <w:szCs w:val="28"/>
        </w:rPr>
        <w:t>紧紧围绕高质量发展战略和十四五规划，坚定不移贯彻落实新发展理念，大力推进工厂治理体系和治理能力现代化，加强环境源头治理，探索先进工艺技术，建设绿色工厂。工厂积极履行社会责任，以国家法律法规为依据，节能减排、清洁生产、保护环境、达标排放，节约、集约、循环利用资源，实现企业与环境的共存共生，创建环境友好型企业，达到社会满意。</w:t>
      </w:r>
    </w:p>
    <w:p>
      <w:pPr>
        <w:pStyle w:val="2"/>
        <w:pageBreakBefore w:val="0"/>
        <w:widowControl w:val="0"/>
        <w:numPr>
          <w:ilvl w:val="0"/>
          <w:numId w:val="1"/>
        </w:numPr>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人才培养与职工关怀</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俊郎电气</w:t>
      </w:r>
      <w:r>
        <w:rPr>
          <w:rFonts w:ascii="Times New Roman" w:hAnsi="Times New Roman" w:eastAsia="仿宋" w:cs="Times New Roman"/>
          <w:sz w:val="28"/>
          <w:szCs w:val="28"/>
        </w:rPr>
        <w:t>秉持</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人才是第一资源</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理念，结合实际，全方位、多举措致力于建设高质量人才队伍。2023年培训教育工作以助推企业中心工作和提升员工的业务技能水平为主线，累计完成培训项目205项，累计参加人次14513人次，人均脱产课时达到83课时。开展优秀青工跨岗位锻炼工作，选拔并培养12名优秀青工在多元化平台历练成长；开展工厂复合型人才培养工作，2023年完成紧缺复合型操作人员培养123人；实施新员工两年三阶段培养机制，加快新员工成才；持续在各专业领域开展技能竞赛活动，以赛促练、以赛提能，锻造业务精兵，营造比学赶超的氛围。开展行业特有职业技能鉴定工作和专业技术资格申报工作；持续建设首特专家工作室和技能大师工作室，发挥领头雁的作用，以工作室为平台，攻坚技术难题，培养年轻技术队伍。</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以人为本，始终遵守国家法律法规，创建更加良好的工作环境，关注每个员工的安全健康。积极消除事故隐患，有效预防事故发生，持续提升职业健康安全管理水平，实现员工与企业的共同发展。2023年，我们进一步改善了员工的工作环境和福利待遇，进一步降低了生产现场噪声，优化员工工作环境。</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职工人文关怀暖心贴心。工厂工会组织及时做好职工生日、结婚、生育、生病住院等关怀慰问工作，全年共慰问职工1255人次，欢送退休职工39人，春节慰问生病困难职工278人。积极开展职工大病医疗互助保障工作，为52名生病住院职工办理医疗互助款69289元</w:t>
      </w:r>
      <w:r>
        <w:rPr>
          <w:rFonts w:hint="eastAsia" w:ascii="Times New Roman" w:hAnsi="Times New Roman" w:eastAsia="仿宋" w:cs="Times New Roman"/>
          <w:sz w:val="28"/>
          <w:szCs w:val="28"/>
          <w:lang w:eastAsia="zh-CN"/>
        </w:rPr>
        <w:t>。</w:t>
      </w:r>
    </w:p>
    <w:p>
      <w:pPr>
        <w:pStyle w:val="2"/>
        <w:pageBreakBefore w:val="0"/>
        <w:widowControl w:val="0"/>
        <w:numPr>
          <w:ilvl w:val="0"/>
          <w:numId w:val="1"/>
        </w:numPr>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产品质量管理</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工厂秉承</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创造价值、满足需求</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的企业使命，达到</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优、细、精、实</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的质量管理，不断追求，持续改进。</w:t>
      </w:r>
      <w:r>
        <w:rPr>
          <w:rFonts w:hint="eastAsia" w:ascii="Times New Roman" w:hAnsi="Times New Roman" w:eastAsia="仿宋" w:cs="Times New Roman"/>
          <w:sz w:val="28"/>
          <w:szCs w:val="28"/>
        </w:rPr>
        <w:t>工厂按照公司统一要求进行采购，公司制定了《采购管理制度</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采购监督管理办法</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工程物资服务采购管理工作考评办法》和《互联网采购管理办法》，对采购的物资提出要求：如采购的能耗设备必须符合国家能效等级要求，采购的原辅材料的有毒有害物质必须符合国家标准要求，同时在年度供应商评级中将供应商的能源和环保管理纳入考核指标中，有效实施公司绿色采购。</w:t>
      </w:r>
    </w:p>
    <w:p>
      <w:pPr>
        <w:pStyle w:val="2"/>
        <w:pageBreakBefore w:val="0"/>
        <w:widowControl w:val="0"/>
        <w:numPr>
          <w:ilvl w:val="0"/>
          <w:numId w:val="1"/>
        </w:numPr>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资源能源利用与生态环境保护</w:t>
      </w:r>
    </w:p>
    <w:p>
      <w:pPr>
        <w:pStyle w:val="3"/>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1.持续建立健全环境体系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工厂抓实战略管理融入，探索导入ESG评价标准，将责任担当融入到战略管理体系，坚定不移走生态优先、绿色发展之路；坚持绿色驱动，分解落实绿色低碳发展30余条</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硬措施</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，着力构建绿色设施、绿色生产、绿色能源、绿色网信、绿色文化五大体系，优化能源结构，完善装备选型，促进降碳、减污、扩绿、增长协同推进。</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持续推进能源管理体系和环境管理体系建设，加强能源资源节约、污染防治、清洁生产全方位、全过程管理。定期开展体系审核，通过建立节能目标责任制、</w:t>
      </w:r>
      <w:r>
        <w:rPr>
          <w:rFonts w:hint="eastAsia" w:ascii="Times New Roman" w:hAnsi="Times New Roman" w:eastAsia="仿宋" w:cs="Times New Roman"/>
          <w:sz w:val="28"/>
          <w:szCs w:val="28"/>
        </w:rPr>
        <w:t>定期开展能源利用效率和能源流程</w:t>
      </w:r>
      <w:r>
        <w:rPr>
          <w:rFonts w:ascii="Times New Roman" w:hAnsi="Times New Roman" w:eastAsia="仿宋" w:cs="Times New Roman"/>
          <w:sz w:val="28"/>
          <w:szCs w:val="28"/>
        </w:rPr>
        <w:t>等</w:t>
      </w:r>
      <w:r>
        <w:rPr>
          <w:rFonts w:hint="eastAsia" w:ascii="Times New Roman" w:hAnsi="Times New Roman" w:eastAsia="仿宋" w:cs="Times New Roman"/>
          <w:sz w:val="28"/>
          <w:szCs w:val="28"/>
        </w:rPr>
        <w:t>相关</w:t>
      </w:r>
      <w:r>
        <w:rPr>
          <w:rFonts w:ascii="Times New Roman" w:hAnsi="Times New Roman" w:eastAsia="仿宋" w:cs="Times New Roman"/>
          <w:sz w:val="28"/>
          <w:szCs w:val="28"/>
        </w:rPr>
        <w:t>诊断</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不断挖掘节能潜力。</w:t>
      </w:r>
    </w:p>
    <w:p>
      <w:pPr>
        <w:pStyle w:val="3"/>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2.升级夯实环保基础设施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推进厂区水系改造，美化厂区环境，做好污水处理站日常运维管理，实现厂区中水回用，达成2023年度废水零排放。完成厂区垃圾站房升级改造，打造集收纳归置、除臭、冲洗等一体的垃圾中转运营模式，提升垃圾分类工作实效。</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为不断降低废气排放量，工厂2023年增加环保设施投入，不断优化环保设施，提高污染物去除效率</w:t>
      </w:r>
      <w:r>
        <w:rPr>
          <w:rFonts w:ascii="Times New Roman" w:hAnsi="Times New Roman" w:eastAsia="仿宋" w:cs="Times New Roman"/>
          <w:sz w:val="28"/>
          <w:szCs w:val="28"/>
        </w:rPr>
        <w:t>，</w:t>
      </w:r>
      <w:r>
        <w:rPr>
          <w:rFonts w:hint="eastAsia" w:ascii="Times New Roman" w:hAnsi="Times New Roman" w:eastAsia="仿宋" w:cs="Times New Roman"/>
          <w:sz w:val="28"/>
          <w:szCs w:val="28"/>
        </w:rPr>
        <w:t>从源头上降低污染物的排放，</w:t>
      </w:r>
      <w:r>
        <w:rPr>
          <w:rFonts w:ascii="Times New Roman" w:hAnsi="Times New Roman" w:eastAsia="仿宋" w:cs="Times New Roman"/>
          <w:sz w:val="28"/>
          <w:szCs w:val="28"/>
        </w:rPr>
        <w:t>锅炉氮氧化物排放浓度大幅下降。</w:t>
      </w:r>
    </w:p>
    <w:p>
      <w:pPr>
        <w:pStyle w:val="3"/>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3.营造良好环保文化氛围</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工厂全面推行绿色低碳消费模式和生活方式，倡导绿色出行，坚决制止餐饮浪费行为，积极践行</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光盘</w:t>
      </w:r>
      <w:bookmarkStart w:id="0" w:name="_GoBack"/>
      <w:bookmarkEnd w:id="0"/>
      <w:r>
        <w:rPr>
          <w:rFonts w:ascii="Times New Roman" w:hAnsi="Times New Roman" w:eastAsia="仿宋" w:cs="Times New Roman"/>
          <w:sz w:val="28"/>
          <w:szCs w:val="28"/>
        </w:rPr>
        <w:t>行动</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加大宣传培训力度，形成良好环保文化氛围。以OA平台、钉钉、专题培训等多方式、多平台、多渠道为载体，组织开展绿色低碳宣传教育，培育绿色低碳理念，努力形成资源节约、环境友好的生产方式和环保氛围。</w:t>
      </w:r>
    </w:p>
    <w:p>
      <w:pPr>
        <w:pStyle w:val="3"/>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4.提升能源资源利用水平</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全面推行清洁生产，制定计划持续推进高耗能落后设备淘汰更新，已完成除尘高耗能电机淘汰更新。推进固定废弃物精细化管理，加强垃圾分类管理，提高垃圾分类正确率。探索绿色低碳技术创新应用，实施多种能源综合利用建设项目，开展能源综合利用数字化转型升级研究，探索厂区光伏发电应用可行性，有序推进绿色低碳转型科技项目成果转化。强化重点领域节能增效，单位产出能源消耗实现持续降低。</w:t>
      </w:r>
    </w:p>
    <w:p>
      <w:pPr>
        <w:pStyle w:val="3"/>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5</w:t>
      </w:r>
      <w:r>
        <w:rPr>
          <w:rFonts w:hint="eastAsia" w:cs="Times New Roman"/>
        </w:rPr>
        <w:t>.</w:t>
      </w:r>
      <w:r>
        <w:rPr>
          <w:rFonts w:cs="Times New Roman"/>
        </w:rPr>
        <w:t>优化厂区环境治理系统</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公司委托专业第三方检测单位对厂区的污染物排放进行定期检测，废气检测主要包括各排放口的有组织排放和厂界的无组织排放，噪声检测主要在厂界周边，全年的污染物及噪声监测均达标且达到更高等级排放标准要求。</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工厂加快绿色技改项目落地投用，完成烟草异味监测平台建设并投入使用，开展异味扩散影响分析。组织开展挥发性有机物（VOCs）监测工作，安全高效推进异常数据分析与综合治理。完成制丝烟草异味深度处理，烟草异味有组织排放浓度大幅下降。</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2023年度，工厂主要污染物均达标排放，同时工厂已实现废水零排放。</w:t>
      </w:r>
      <w:r>
        <w:rPr>
          <w:rFonts w:ascii="Times New Roman" w:hAnsi="Times New Roman" w:eastAsia="仿宋" w:cs="Times New Roman"/>
          <w:sz w:val="28"/>
          <w:szCs w:val="28"/>
        </w:rPr>
        <w:br w:type="textWrapping"/>
      </w:r>
      <w:r>
        <w:rPr>
          <w:rStyle w:val="9"/>
          <w:rFonts w:hint="eastAsia"/>
          <w:lang w:val="en-US" w:eastAsia="zh-CN"/>
        </w:rPr>
        <w:t>6. 控制温室气体排放</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为助力国家碳达峰碳中和任务，工厂积极探索引入新能源电力接入，</w:t>
      </w:r>
      <w:r>
        <w:rPr>
          <w:rFonts w:hint="eastAsia" w:ascii="Times New Roman" w:hAnsi="Times New Roman" w:eastAsia="仿宋" w:cs="Times New Roman"/>
          <w:sz w:val="28"/>
          <w:szCs w:val="28"/>
          <w:lang w:val="en-US" w:eastAsia="zh-CN"/>
        </w:rPr>
        <w:t>实施</w:t>
      </w:r>
      <w:r>
        <w:rPr>
          <w:rFonts w:hint="eastAsia" w:ascii="Times New Roman" w:hAnsi="Times New Roman" w:eastAsia="仿宋" w:cs="Times New Roman"/>
          <w:sz w:val="28"/>
          <w:szCs w:val="28"/>
        </w:rPr>
        <w:t>屋顶光伏发电项目。同时在生产方面，采取了多项节能改造措施，包括加强管理、合理分配生产资源、合理配置生产工序及生产时间，对生产设备、工艺流程及原材料使用消耗进行技改，尽可能降低工厂生产过程的温室气体排放。2023年度工厂核算边界内的温室气体排放总量为</w:t>
      </w:r>
      <w:r>
        <w:rPr>
          <w:rFonts w:hint="eastAsia" w:ascii="Times New Roman" w:hAnsi="Times New Roman" w:eastAsia="仿宋" w:cs="Times New Roman"/>
          <w:sz w:val="28"/>
          <w:szCs w:val="28"/>
          <w:lang w:val="en-US" w:eastAsia="zh-CN"/>
        </w:rPr>
        <w:t>580</w:t>
      </w:r>
      <w:r>
        <w:rPr>
          <w:rFonts w:hint="eastAsia" w:ascii="Times New Roman" w:hAnsi="Times New Roman" w:eastAsia="仿宋" w:cs="Times New Roman"/>
          <w:sz w:val="28"/>
          <w:szCs w:val="28"/>
        </w:rPr>
        <w:t xml:space="preserve"> tCO</w:t>
      </w:r>
      <w:r>
        <w:rPr>
          <w:rFonts w:hint="eastAsia" w:ascii="Times New Roman" w:hAnsi="Times New Roman" w:eastAsia="仿宋" w:cs="Times New Roman"/>
          <w:sz w:val="28"/>
          <w:szCs w:val="28"/>
          <w:vertAlign w:val="subscript"/>
        </w:rPr>
        <w:t>2</w:t>
      </w:r>
      <w:r>
        <w:rPr>
          <w:rFonts w:hint="eastAsia" w:ascii="Times New Roman" w:hAnsi="Times New Roman" w:eastAsia="仿宋" w:cs="Times New Roman"/>
          <w:sz w:val="28"/>
          <w:szCs w:val="28"/>
        </w:rPr>
        <w:t>。</w:t>
      </w:r>
    </w:p>
    <w:p>
      <w:pPr>
        <w:pStyle w:val="2"/>
        <w:pageBreakBefore w:val="0"/>
        <w:widowControl w:val="0"/>
        <w:kinsoku/>
        <w:wordWrap/>
        <w:overflowPunct/>
        <w:topLinePunct w:val="0"/>
        <w:autoSpaceDE/>
        <w:autoSpaceDN/>
        <w:bidi w:val="0"/>
        <w:adjustRightInd/>
        <w:snapToGrid/>
        <w:spacing w:before="0" w:after="0" w:line="360" w:lineRule="auto"/>
        <w:ind w:firstLine="562"/>
        <w:textAlignment w:val="auto"/>
        <w:rPr>
          <w:rFonts w:cs="Times New Roman"/>
        </w:rPr>
      </w:pPr>
      <w:r>
        <w:rPr>
          <w:rFonts w:cs="Times New Roman"/>
        </w:rPr>
        <w:t>六、社会公益服务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近年来，</w:t>
      </w:r>
      <w:r>
        <w:rPr>
          <w:rFonts w:hint="eastAsia" w:ascii="Times New Roman" w:hAnsi="Times New Roman" w:eastAsia="仿宋" w:cs="Times New Roman"/>
          <w:sz w:val="28"/>
          <w:szCs w:val="28"/>
          <w:lang w:val="en-US" w:eastAsia="zh-CN"/>
        </w:rPr>
        <w:t>俊郎电气</w:t>
      </w:r>
      <w:r>
        <w:rPr>
          <w:rFonts w:ascii="Times New Roman" w:hAnsi="Times New Roman" w:eastAsia="仿宋" w:cs="Times New Roman"/>
          <w:sz w:val="28"/>
          <w:szCs w:val="28"/>
        </w:rPr>
        <w:t>积极参与教育、文化、慈善、社区建设、扶贫济困等社会公益活动，履行社会义务。</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俊郎电气</w:t>
      </w:r>
      <w:r>
        <w:rPr>
          <w:rFonts w:ascii="Times New Roman" w:hAnsi="Times New Roman" w:eastAsia="仿宋" w:cs="Times New Roman"/>
          <w:sz w:val="28"/>
          <w:szCs w:val="28"/>
        </w:rPr>
        <w:t>将始终秉承</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责任、创新、绿色、共享</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的发展理念，以高度的责任感和使命感履行好我们的社会责任。我们坚信，只有实现经济效益、社会效益和环境效益的协调发展，才能真正实现企业的可持续发展，服务于社会，回报于自然。</w:t>
      </w:r>
      <w:r>
        <w:rPr>
          <w:rFonts w:ascii="Times New Roman" w:hAnsi="Times New Roman" w:eastAsia="仿宋"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854710</wp:posOffset>
                </wp:positionH>
                <wp:positionV relativeFrom="paragraph">
                  <wp:posOffset>1779905</wp:posOffset>
                </wp:positionV>
                <wp:extent cx="3168015" cy="635"/>
                <wp:effectExtent l="0" t="0" r="0" b="0"/>
                <wp:wrapNone/>
                <wp:docPr id="2" name="直接连接符 2"/>
                <wp:cNvGraphicFramePr/>
                <a:graphic xmlns:a="http://schemas.openxmlformats.org/drawingml/2006/main">
                  <a:graphicData uri="http://schemas.microsoft.com/office/word/2010/wordprocessingShape">
                    <wps:wsp>
                      <wps:cNvCnPr/>
                      <wps:spPr>
                        <a:xfrm>
                          <a:off x="1146175" y="5071745"/>
                          <a:ext cx="3168015" cy="63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7.3pt;margin-top:140.15pt;height:0.05pt;width:249.45pt;z-index:251659264;mso-width-relative:page;mso-height-relative:page;" filled="f" stroked="t" coordsize="21600,21600" o:gfxdata="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huNK9kAAAALAQAADwAAAAAAAAABACAAAAAiAAAAZHJzL2Rvd25yZXYueG1sUEsB&#10;AhQAFAAAAAgAh07iQO7AzBr0AQAAwAMAAA4AAAAAAAAAAQAgAAAAKAEAAGRycy9lMm9Eb2MueG1s&#10;UEsFBgAAAAAGAAYAWQEAAI4FAAAAAA==&#10;">
                <v:fill on="f" focussize="0,0"/>
                <v:stroke weight="1pt" color="#000000 [3213]" miterlimit="8" joinstyle="miter"/>
                <v:imagedata o:title=""/>
                <o:lock v:ext="edit" aspectratio="f"/>
              </v:line>
            </w:pict>
          </mc:Fallback>
        </mc:AlternateConten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441E2"/>
    <w:multiLevelType w:val="singleLevel"/>
    <w:tmpl w:val="DE2441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31C2A"/>
    <w:rsid w:val="0000702C"/>
    <w:rsid w:val="000A6C29"/>
    <w:rsid w:val="00131C2A"/>
    <w:rsid w:val="00A66FA1"/>
    <w:rsid w:val="00CD3870"/>
    <w:rsid w:val="00D20B4D"/>
    <w:rsid w:val="00D81DC5"/>
    <w:rsid w:val="00F44F67"/>
    <w:rsid w:val="00FA0655"/>
    <w:rsid w:val="02076F1C"/>
    <w:rsid w:val="036E7D9E"/>
    <w:rsid w:val="03EC63C9"/>
    <w:rsid w:val="0451447E"/>
    <w:rsid w:val="04CE3D21"/>
    <w:rsid w:val="05014E32"/>
    <w:rsid w:val="051F457C"/>
    <w:rsid w:val="053E7845"/>
    <w:rsid w:val="05A131E3"/>
    <w:rsid w:val="05EF657E"/>
    <w:rsid w:val="068B36D1"/>
    <w:rsid w:val="0A907D14"/>
    <w:rsid w:val="0AF52224"/>
    <w:rsid w:val="0B2E4218"/>
    <w:rsid w:val="0C6E2AC2"/>
    <w:rsid w:val="0D1067A4"/>
    <w:rsid w:val="10617267"/>
    <w:rsid w:val="112C6057"/>
    <w:rsid w:val="113C07ED"/>
    <w:rsid w:val="13313DF9"/>
    <w:rsid w:val="139655F6"/>
    <w:rsid w:val="1424570B"/>
    <w:rsid w:val="145B17C5"/>
    <w:rsid w:val="14C238EF"/>
    <w:rsid w:val="14D07641"/>
    <w:rsid w:val="15033573"/>
    <w:rsid w:val="17345C65"/>
    <w:rsid w:val="17F65611"/>
    <w:rsid w:val="184639D8"/>
    <w:rsid w:val="19FB65B3"/>
    <w:rsid w:val="1B395F40"/>
    <w:rsid w:val="1B42721A"/>
    <w:rsid w:val="1B721F7C"/>
    <w:rsid w:val="1BED4697"/>
    <w:rsid w:val="1E5E7A6C"/>
    <w:rsid w:val="1E79364B"/>
    <w:rsid w:val="212E1977"/>
    <w:rsid w:val="218C0D8D"/>
    <w:rsid w:val="22B84D11"/>
    <w:rsid w:val="22FF7A6F"/>
    <w:rsid w:val="2316376C"/>
    <w:rsid w:val="23902475"/>
    <w:rsid w:val="24BC729A"/>
    <w:rsid w:val="275639D6"/>
    <w:rsid w:val="2A2D1EEA"/>
    <w:rsid w:val="2B9C3C6C"/>
    <w:rsid w:val="2BFF6C3E"/>
    <w:rsid w:val="2D54780D"/>
    <w:rsid w:val="309336C7"/>
    <w:rsid w:val="31166989"/>
    <w:rsid w:val="31576CC8"/>
    <w:rsid w:val="38701F7D"/>
    <w:rsid w:val="38787C50"/>
    <w:rsid w:val="38A74BE1"/>
    <w:rsid w:val="39F50E2C"/>
    <w:rsid w:val="3A2B6F44"/>
    <w:rsid w:val="3B064C55"/>
    <w:rsid w:val="3BDA29D0"/>
    <w:rsid w:val="3E1D0952"/>
    <w:rsid w:val="3F2C3542"/>
    <w:rsid w:val="3FAD2019"/>
    <w:rsid w:val="400F6A9C"/>
    <w:rsid w:val="40AF442B"/>
    <w:rsid w:val="416A0B16"/>
    <w:rsid w:val="444111FF"/>
    <w:rsid w:val="44414AB7"/>
    <w:rsid w:val="460348D1"/>
    <w:rsid w:val="461D1E37"/>
    <w:rsid w:val="47D76015"/>
    <w:rsid w:val="485E2293"/>
    <w:rsid w:val="49147F68"/>
    <w:rsid w:val="4A225C58"/>
    <w:rsid w:val="4A804742"/>
    <w:rsid w:val="4AA20B5D"/>
    <w:rsid w:val="4B662763"/>
    <w:rsid w:val="4BAF41EB"/>
    <w:rsid w:val="4C934C01"/>
    <w:rsid w:val="4CD929E2"/>
    <w:rsid w:val="4D624F2A"/>
    <w:rsid w:val="4F363F69"/>
    <w:rsid w:val="5006393C"/>
    <w:rsid w:val="50914F3C"/>
    <w:rsid w:val="53EE6BC1"/>
    <w:rsid w:val="54857525"/>
    <w:rsid w:val="55410F72"/>
    <w:rsid w:val="554C6B67"/>
    <w:rsid w:val="55833339"/>
    <w:rsid w:val="56D00242"/>
    <w:rsid w:val="56DB1D7B"/>
    <w:rsid w:val="588074E8"/>
    <w:rsid w:val="5A423E6A"/>
    <w:rsid w:val="5A667E04"/>
    <w:rsid w:val="5D3600EE"/>
    <w:rsid w:val="5DF911F2"/>
    <w:rsid w:val="5E371164"/>
    <w:rsid w:val="61262777"/>
    <w:rsid w:val="62C76F5B"/>
    <w:rsid w:val="65C94D98"/>
    <w:rsid w:val="65D1061A"/>
    <w:rsid w:val="65FF6A0B"/>
    <w:rsid w:val="689F77C0"/>
    <w:rsid w:val="69434E61"/>
    <w:rsid w:val="69D97BBF"/>
    <w:rsid w:val="6AD73A09"/>
    <w:rsid w:val="6C0C003E"/>
    <w:rsid w:val="6CCC6FF1"/>
    <w:rsid w:val="6CFE7A1D"/>
    <w:rsid w:val="70264986"/>
    <w:rsid w:val="7036127C"/>
    <w:rsid w:val="7120724F"/>
    <w:rsid w:val="74512BC5"/>
    <w:rsid w:val="755F2F99"/>
    <w:rsid w:val="764364A0"/>
    <w:rsid w:val="76562678"/>
    <w:rsid w:val="76866AB1"/>
    <w:rsid w:val="76D4359C"/>
    <w:rsid w:val="76FC356D"/>
    <w:rsid w:val="77A2369A"/>
    <w:rsid w:val="7B4F6582"/>
    <w:rsid w:val="7C873550"/>
    <w:rsid w:val="7CD442F6"/>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Times New Roman" w:hAnsi="Times New Roman" w:eastAsia="仿宋"/>
      <w:b/>
      <w:sz w:val="28"/>
    </w:rPr>
  </w:style>
  <w:style w:type="paragraph" w:styleId="3">
    <w:name w:val="heading 3"/>
    <w:basedOn w:val="1"/>
    <w:next w:val="1"/>
    <w:link w:val="9"/>
    <w:unhideWhenUsed/>
    <w:qFormat/>
    <w:uiPriority w:val="0"/>
    <w:pPr>
      <w:keepNext/>
      <w:keepLines/>
      <w:spacing w:before="260" w:after="260" w:line="413" w:lineRule="auto"/>
      <w:outlineLvl w:val="2"/>
    </w:pPr>
    <w:rPr>
      <w:rFonts w:ascii="Times New Roman" w:hAnsi="Times New Roman" w:eastAsia="仿宋"/>
      <w:b/>
      <w:sz w:val="28"/>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 Spacing"/>
    <w:autoRedefine/>
    <w:qFormat/>
    <w:uiPriority w:val="1"/>
    <w:pPr>
      <w:widowControl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character" w:customStyle="1" w:styleId="9">
    <w:name w:val="标题 3 Char"/>
    <w:link w:val="3"/>
    <w:qFormat/>
    <w:uiPriority w:val="0"/>
    <w:rPr>
      <w:rFonts w:ascii="Times New Roman" w:hAnsi="Times New Roman" w:eastAsia="仿宋"/>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3865</Words>
  <Characters>3981</Characters>
  <Lines>29</Lines>
  <Paragraphs>8</Paragraphs>
  <TotalTime>21</TotalTime>
  <ScaleCrop>false</ScaleCrop>
  <LinksUpToDate>false</LinksUpToDate>
  <CharactersWithSpaces>3987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2024-01-30T05:01:00Z</dcterms:created>
  <dc:creator>86130</dc:creator>
  <cp:lastModifiedBy>YJ-gxj</cp:lastModifiedBy>
  <cp:lastPrinted>2024-04-29T06:41:00Z</cp:lastPrinted>
  <dcterms:modified xsi:type="dcterms:W3CDTF">2024-06-03T03:21:51Z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4BAA4EA600774B718FEB198D6F7CE7A8_13</vt:lpwstr>
  </property>
</Properties>
</file>